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 vom 17. Februar 2011</w:t>
      </w:r>
    </w:p>
    <w:p>
      <w:r>
        <w:t>Sg Versicherungsgericht, 2011-02-17, DE</w:t>
      </w:r>
    </w:p>
    <w:p>
      <w:r>
        <w:rPr>
          <w:b/>
        </w:rPr>
        <w:t xml:space="preserve">Quelle: </w:t>
      </w:r>
      <w:r>
        <w:t>https://mcp.opencaselaw.ch/entscheid/sg_publikationen_IV 2010_33</w:t>
      </w:r>
    </w:p>
    <w:p>
      <w:r>
        <w:t>FR: SG_VERSICHERUNGSGERICHT IV 2010/33 du 17 février 2011</w:t>
      </w:r>
    </w:p>
    <w:p>
      <w:r>
        <w:t>IT: SG_VERSICHERUNGSGERICHT IV 2010/33 del 17 febbraio 2011</w:t>
      </w:r>
    </w:p>
    <w:p>
      <w:pPr>
        <w:pStyle w:val="Heading2"/>
      </w:pPr>
      <w:r>
        <w:t>Regeste</w:t>
      </w:r>
    </w:p>
    <w:p>
      <w:r>
        <w:t>Art. 28 Abs. 2 IVG: Rentenanspruch. Interdisziplinäres Gutachten beweiskräftig. Eine gesundheitliche Verschlechterung ist nicht ausgewiesen. Kein rentenbegründender Invaliditätsgrad (Entscheid des Versicherungsgerichts des Kantons St. Gallen vom 17. Februar 2011, IV 2010/33).</w:t>
      </w:r>
    </w:p>
    <w:p>
      <w:pPr>
        <w:pStyle w:val="Heading2"/>
      </w:pPr>
      <w:r>
        <w:t>Erwägungen</w:t>
      </w:r>
    </w:p>
    <w:p>
      <w:r>
        <w:rPr>
          <w:b/>
        </w:rPr>
        <w:t>E. 1</w:t>
      </w:r>
    </w:p>
    <w:p>
      <w:r>
        <w:t>Zwischen den Parteien ist einzig der Rentenanspruch der Beschwerdeführerin streitig.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Nach Art. 28 Abs. 2 des Bundesgesetzes über die Invalidenversicherung (IVG; SR 831.20)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 Verzicht auf die Abnahme weiterer Beweise zulässig und bedeutet keine Verletzung des Anspruchs auf rechtliches Gehör (SVR 2001 IV Nr. 10 S. 28 E. 4b mit Hinweisen).</w:t>
      </w:r>
    </w:p>
    <w:p>
      <w:r>
        <w:rPr>
          <w:b/>
        </w:rPr>
        <w:t>E. 2</w:t>
      </w:r>
    </w:p>
    <w:p>
      <w:r>
        <w:t>Die Beschwerdegegnerin ging in der angefochtenen Verfügung vom 4. Januar 2010 gestützt auf die Beurteilung der Experten der Klinik St. Katharinental unter Beizug einer psychiatrischen Abklärung durch die Psychiatrischen Dienste Thurgau von einer 100%igen Arbeitsfähigkeit für leidensangepasste Tätigkeiten aus (act. G 7.74). Die Beschwerdeführerin hält diese Einschätzung für unzutreffend (act. G 1 und G 10). 2.1   Die Beschwerdeführerin benennt keine konkreten Mängel am Gutachten oder der Gutachtenserstellung. Was die von der Beschwerdeführerin mit der Replik vom 20. Mai 2010 eingereichten medizinischen Unterlagen anbelangt, so vermögen diese keine Zweifel an der Beweistauglichkeit des Gutachtens entstehen zu lassen. Denn die Venenproblematik, die Dr. B.___ im Bericht vom 1. Februar 2010 darstellte (act. G 10.1), sowie die von Dr. med. D.___, Facharzt FMH für Radiologie, am 28. November 2007 beschriebenen Befunde an der Lendenwirbelsäule (act. G 10.2), wurden von den Gutachtern berücksichtigt (zur Venenproblematik vgl. act. G 7.43-2; zur Lendenwirbelsäule vgl. act. G 7.43-4). Aus diesen Berichten sowie den übrigen mit der Replik eingereichten Unterlagen (Laboranalyse vom 10. August 2009, act. G 10.3; Rechnung für einen "BIO SCREENINGTEST" vom 30. Juli 2007, act. G 10.4) ergeben sich des Weiteren hinsichtlich der Leistungsfähigkeit der Beschwerdeführerin keine Einschränkungen oder relevanten Gesichtspunkte, die bei der gutachterlichen Beurteilung ausser Acht gelassen worden wären. Es besteht vor diesem Hintergrund kein Anlass, von der gutachterlichen Beurteilung der Restarbeitsfähigkeit abzuweichen. 2.2   Es ergeben sich auch keine Hinweise, die auf eine relevante Verschlechterung des Gesundheitszustands schliessen lassen und einen weiteren medizinischen Abklärungsbedarf begründen würden. Das im Rahmen des Beschwerdeverfahrens geklagte Beschwerdebild wurde bei der Begutachtung berücksichtigt. Diese Betrachtungsweise wird dadurch bestätigt, dass der behandelnde Dr. A.___ im Verlaufsbericht vom 20. Juli 2009 den Gesundheitszustand der Beschwerdeführerin als stationär bezeichnete. Hinsichtlich der gesundheitlichen Beeinträchtigungen durch das Unfallereigniss vom "29. August 2008" hielt er fest, dass seit 29. September 2008 wieder eine "volle Funktionsfähigkeit" bestehe (act. G 7.51). 2.3   Bei der Würdigung der medizinischen Situation fällt weiter ins Gewicht, dass das Gutachten vom 29. August 2008 auf umfassender Aktenkenntnis sowie interdisziplinären Untersuchungen beruht, das gesamte Leidensbild der Beschwerdeführerin berücksichtigt und die auf dieser Grundlage gezogenen Schlüsse nachvollziehbar sind. Die Beschwerdegegnerin hat daher zu Recht auf die gutachterliche Einschätzung der Arbeitsfähigkeit abgestellt und bei der Bestimmung des Invaliditätsgrads eine für leidensangepasste Tätigkeiten bestehende Arbeitsfähigkeit von 100% berücksichtigt. Gründe, die eine Verwertbarkeit dieser Leistungsfähigkeit in leidensangepassten Tätigkeiten verhindern würden, sind bei allem Respekt vor den anerkannten gesundheitlichen Leiden der Beschwerdeführerin nicht auszumachen. Dies umso weniger, als die Beschwerdeführerin die ihr verbliebene Leistungsfähigkeit teilweise als Reinigungskraft und als Verkäuferin auch tatsächlich verwertet (vgl. act. G 7.53-2).</w:t>
      </w:r>
    </w:p>
    <w:p>
      <w:r>
        <w:rPr>
          <w:b/>
        </w:rPr>
        <w:t>E. 3</w:t>
      </w:r>
    </w:p>
    <w:p>
      <w:r>
        <w:t>Zu prüfen verbleibt damit noch die von der Beschwerdegegnerin vorgenommene Invaliditätsbemessung. Da bezüglich des Valideneinkommens keine verlässliche Grundlage vorhanden und betreffend das Invalideneinkommen auf die Tabellenlöhne abzustellen ist, rechtfertigt sich das Vorgehen der Beschwerdegegnerin, die Vergleichseinkommen (Validen- und Invalideneinkommen) auf der gleichen Grundlage zu erheben (act. G 7.74). 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vom 9. März 2007, I 697/05, E. 5.4 mit Hinweis). Die Frage, ob und gegebenenfalls in welcher Höhe sich vorliegend ein Tabellenabzug rechtfertigt, kann offen gelassen werden. Denn selbst wenn der höchstzulässige Tabellenabzug von 25% berücksichtigt würde, so resultierte ein nicht rentenbegründender Invaliditätsgrad von 25%. Die einen Rentenanspruch verneinende Verfügung vom 4. Januar 2010 erging daher zu Recht.</w:t>
      </w:r>
    </w:p>
    <w:p>
      <w:r>
        <w:rPr>
          <w:b/>
        </w:rPr>
        <w:t>E. 4</w:t>
      </w:r>
    </w:p>
    <w:p>
      <w:r>
        <w:t>4.1   Nach dem Gesagten ist die Beschwerde vom 27. Januar 2010 abzuweisen. 4.2   Der Beschwerdeführerin wurde die unentgeltliche Rechtspflege (Befreiung von den Gerichtskosten) am 22. April 2010 bewilligt (act. G 8). Wenn die wirtschaftlichen Verhältnisse der Beschwerdeführerin es gestatten, kann sie jedoch zur Nachzahlung der Gerichtskosten verpflichtet werden (Art. 288 Abs. 1a ZPO/SG i.V.m. Art. 99 Abs. 2 VRP/SG).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Demgemäss hat das Versicherungsgericht im Zirkulationsverfahren gemäss Art. 39 VRP entschieden: 1.      Die Beschwerde wird abgewiesen. 2.      Die Beschwerdeführerin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